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1B" w:rsidRDefault="007C161B" w:rsidP="007C161B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 w:rsidRPr="007C161B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Annual parentage analysis, spawning surveys and </w:t>
      </w:r>
      <w:proofErr w:type="spellStart"/>
      <w:r w:rsidRPr="007C161B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screwtrapping</w:t>
      </w:r>
      <w:proofErr w:type="spellEnd"/>
      <w:r w:rsidR="003C0817" w:rsidRPr="007C16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0</wp:posOffset>
                </wp:positionV>
                <wp:extent cx="2133600" cy="365125"/>
                <wp:effectExtent l="0" t="0" r="0" b="0"/>
                <wp:wrapNone/>
                <wp:docPr id="3" name="Date Placeholder 2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33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161B" w:rsidRDefault="000F447B" w:rsidP="007C161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9/26</w:t>
                            </w:r>
                            <w:r w:rsidR="007C161B" w:rsidRPr="007C161B"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</w:rPr>
                              <w:t>/2016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ate Placeholder 26" o:spid="_x0000_s1026" style="position:absolute;left:0;text-align:left;margin-left:540pt;margin-top:0;width:168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" filled="f" stroked="f">
                <v:path arrowok="t"/>
                <o:lock v:ext="edit" grouping="t"/>
                <v:textbox>
                  <w:txbxContent>
                    <w:p w:rsidR="007C161B" w:rsidRDefault="000F447B" w:rsidP="007C161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9/26</w:t>
                      </w:r>
                      <w:r w:rsidR="007C161B" w:rsidRPr="007C161B"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</w:p>
    <w:p w:rsidR="007C161B" w:rsidRDefault="007C161B" w:rsidP="007C161B">
      <w:pPr>
        <w:pStyle w:val="NormalWeb"/>
        <w:spacing w:before="0" w:beforeAutospacing="0" w:after="0" w:afterAutospacing="0"/>
        <w:jc w:val="center"/>
      </w:pPr>
      <w:r w:rsidRPr="007C161B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>Issue Paper submitted by the RM&amp;E Team to the Steering Team</w:t>
      </w:r>
    </w:p>
    <w:p w:rsidR="007C161B" w:rsidRDefault="00C3298A">
      <w:r w:rsidRPr="007C161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90B81B" wp14:editId="05F3D122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9144000" cy="0"/>
                <wp:effectExtent l="0" t="19050" r="38100" b="381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2A4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.05pt" to="70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" strokecolor="black [3213]" strokeweight="5pt">
                <v:stroke linestyle="thinThin"/>
                <o:lock v:ext="edit" shapetype="f"/>
              </v:line>
            </w:pict>
          </mc:Fallback>
        </mc:AlternateContent>
      </w:r>
      <w:r w:rsidR="007C161B">
        <w:t xml:space="preserve"> </w:t>
      </w:r>
    </w:p>
    <w:tbl>
      <w:tblPr>
        <w:tblW w:w="13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0"/>
        <w:gridCol w:w="6960"/>
      </w:tblGrid>
      <w:tr w:rsidR="007C161B" w:rsidRPr="007C161B" w:rsidTr="00C3298A">
        <w:trPr>
          <w:trHeight w:val="513"/>
        </w:trPr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161B" w:rsidRPr="007C161B" w:rsidRDefault="007C161B" w:rsidP="003C0817">
            <w:pPr>
              <w:pStyle w:val="NormalWeb"/>
              <w:spacing w:before="0" w:beforeAutospacing="0" w:after="0" w:afterAutospacing="0"/>
              <w:jc w:val="center"/>
            </w:pPr>
            <w:r w:rsidRPr="007C161B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  <w:t>Problem Description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161B" w:rsidRPr="007C161B" w:rsidRDefault="007C161B" w:rsidP="003C0817">
            <w:pPr>
              <w:pStyle w:val="NormalWeb"/>
              <w:spacing w:before="0" w:beforeAutospacing="0" w:after="0" w:afterAutospacing="0"/>
              <w:jc w:val="center"/>
            </w:pPr>
            <w:r w:rsidRPr="007C161B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  <w:t>Resolution Request</w:t>
            </w:r>
          </w:p>
        </w:tc>
      </w:tr>
      <w:tr w:rsidR="007C161B" w:rsidRPr="007C161B" w:rsidTr="007C161B">
        <w:trPr>
          <w:trHeight w:val="78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161B" w:rsidRPr="00927EAD" w:rsidRDefault="000156DD" w:rsidP="00C1420C">
            <w:pPr>
              <w:spacing w:after="0" w:line="240" w:lineRule="auto"/>
              <w:rPr>
                <w:rFonts w:eastAsia="Times New Roman"/>
                <w:sz w:val="24"/>
              </w:rPr>
            </w:pPr>
            <w:r>
              <w:rPr>
                <w:rFonts w:hAnsi="Calibri"/>
                <w:color w:val="000000" w:themeColor="text1"/>
                <w:kern w:val="24"/>
                <w:sz w:val="24"/>
              </w:rPr>
              <w:t xml:space="preserve">The RPA </w:t>
            </w:r>
            <w:r w:rsidRPr="000156DD">
              <w:rPr>
                <w:rFonts w:hAnsi="Calibri"/>
                <w:color w:val="000000" w:themeColor="text1"/>
                <w:kern w:val="24"/>
                <w:sz w:val="24"/>
              </w:rPr>
              <w:t xml:space="preserve">contains a suite of actions </w:t>
            </w:r>
            <w:r>
              <w:rPr>
                <w:rFonts w:hAnsi="Calibri"/>
                <w:color w:val="000000" w:themeColor="text1"/>
                <w:kern w:val="24"/>
                <w:sz w:val="24"/>
              </w:rPr>
              <w:t xml:space="preserve">related to hatchery effects, </w:t>
            </w:r>
            <w:r w:rsidR="00F64D1B">
              <w:rPr>
                <w:rFonts w:hAnsi="Calibri"/>
                <w:color w:val="000000" w:themeColor="text1"/>
                <w:kern w:val="24"/>
                <w:sz w:val="24"/>
              </w:rPr>
              <w:t xml:space="preserve">and </w:t>
            </w:r>
            <w:r w:rsidR="007C161B" w:rsidRPr="00927EAD">
              <w:rPr>
                <w:rFonts w:hAnsi="Calibri"/>
                <w:color w:val="000000" w:themeColor="text1"/>
                <w:kern w:val="24"/>
                <w:sz w:val="24"/>
              </w:rPr>
              <w:t xml:space="preserve">Chinook and steelhead </w:t>
            </w:r>
            <w:r w:rsidR="00793883">
              <w:rPr>
                <w:rFonts w:hAnsi="Calibri"/>
                <w:color w:val="000000" w:themeColor="text1"/>
                <w:kern w:val="24"/>
                <w:sz w:val="24"/>
              </w:rPr>
              <w:t xml:space="preserve">passage and </w:t>
            </w:r>
            <w:r w:rsidR="007C161B" w:rsidRPr="00927EAD">
              <w:rPr>
                <w:rFonts w:hAnsi="Calibri"/>
                <w:color w:val="000000" w:themeColor="text1"/>
                <w:kern w:val="24"/>
                <w:sz w:val="24"/>
              </w:rPr>
              <w:t>reintroduction</w:t>
            </w:r>
            <w:r>
              <w:rPr>
                <w:rFonts w:hAnsi="Calibri"/>
                <w:color w:val="000000" w:themeColor="text1"/>
                <w:kern w:val="24"/>
                <w:sz w:val="24"/>
              </w:rPr>
              <w:t xml:space="preserve">. </w:t>
            </w:r>
            <w:r w:rsidR="00C1420C">
              <w:rPr>
                <w:rFonts w:hAnsi="Calibri"/>
                <w:color w:val="000000" w:themeColor="text1"/>
                <w:kern w:val="24"/>
                <w:sz w:val="24"/>
              </w:rPr>
              <w:t>G</w:t>
            </w:r>
            <w:r w:rsidR="007C161B" w:rsidRPr="00927EAD">
              <w:rPr>
                <w:rFonts w:hAnsi="Calibri"/>
                <w:color w:val="000000" w:themeColor="text1"/>
                <w:kern w:val="24"/>
                <w:sz w:val="24"/>
              </w:rPr>
              <w:t xml:space="preserve">oals and criteria have </w:t>
            </w:r>
            <w:r>
              <w:rPr>
                <w:rFonts w:hAnsi="Calibri"/>
                <w:color w:val="000000" w:themeColor="text1"/>
                <w:kern w:val="24"/>
                <w:sz w:val="24"/>
              </w:rPr>
              <w:t xml:space="preserve">only been broadly described, </w:t>
            </w:r>
            <w:r w:rsidR="007C161B" w:rsidRPr="00927EAD">
              <w:rPr>
                <w:rFonts w:hAnsi="Calibri"/>
                <w:color w:val="000000" w:themeColor="text1"/>
                <w:kern w:val="24"/>
                <w:sz w:val="24"/>
              </w:rPr>
              <w:t xml:space="preserve">raising questions about what RM&amp;E is needed. There is disagreement on the adequacy of existing information, and </w:t>
            </w:r>
            <w:r>
              <w:rPr>
                <w:rFonts w:hAnsi="Calibri"/>
                <w:color w:val="000000" w:themeColor="text1"/>
                <w:kern w:val="24"/>
                <w:sz w:val="24"/>
              </w:rPr>
              <w:t xml:space="preserve">the </w:t>
            </w:r>
            <w:r w:rsidR="007C161B" w:rsidRPr="00927EAD">
              <w:rPr>
                <w:rFonts w:hAnsi="Calibri"/>
                <w:color w:val="000000" w:themeColor="text1"/>
                <w:kern w:val="24"/>
                <w:sz w:val="24"/>
              </w:rPr>
              <w:t>need for long-term annual monitoring.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161B" w:rsidRPr="00927EAD" w:rsidRDefault="007C161B" w:rsidP="003C0817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27EAD">
              <w:rPr>
                <w:rFonts w:hAnsi="Calibri"/>
                <w:color w:val="000000" w:themeColor="text1"/>
                <w:kern w:val="24"/>
                <w:sz w:val="24"/>
              </w:rPr>
              <w:t xml:space="preserve">Please clarify </w:t>
            </w:r>
            <w:r w:rsidR="000156DD">
              <w:rPr>
                <w:rFonts w:hAnsi="Calibri"/>
                <w:color w:val="000000" w:themeColor="text1"/>
                <w:kern w:val="24"/>
                <w:sz w:val="24"/>
              </w:rPr>
              <w:t xml:space="preserve">specific sub-basin </w:t>
            </w:r>
            <w:r w:rsidRPr="00927EAD">
              <w:rPr>
                <w:rFonts w:hAnsi="Calibri"/>
                <w:color w:val="000000" w:themeColor="text1"/>
                <w:kern w:val="24"/>
                <w:sz w:val="24"/>
              </w:rPr>
              <w:t>goals for reducing hatchery effects, and</w:t>
            </w:r>
            <w:r w:rsidR="000156DD">
              <w:rPr>
                <w:rFonts w:hAnsi="Calibri"/>
                <w:color w:val="000000" w:themeColor="text1"/>
                <w:kern w:val="24"/>
                <w:sz w:val="24"/>
              </w:rPr>
              <w:t xml:space="preserve"> </w:t>
            </w:r>
            <w:r w:rsidR="003C0817" w:rsidRPr="00927EAD">
              <w:rPr>
                <w:rFonts w:hAnsi="Calibri"/>
                <w:color w:val="000000" w:themeColor="text1"/>
                <w:kern w:val="24"/>
                <w:sz w:val="24"/>
              </w:rPr>
              <w:t>for reintroduction programs.</w:t>
            </w:r>
          </w:p>
          <w:p w:rsidR="007C161B" w:rsidRPr="00927EAD" w:rsidRDefault="007C161B" w:rsidP="003C0817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27EAD">
              <w:rPr>
                <w:rFonts w:hAnsi="Calibri"/>
                <w:color w:val="000000" w:themeColor="text1"/>
                <w:kern w:val="24"/>
                <w:sz w:val="24"/>
              </w:rPr>
              <w:t>Are there specific targets or criteria, or should these be developed, for assessing if goals are being achieved?</w:t>
            </w:r>
          </w:p>
          <w:p w:rsidR="007C161B" w:rsidRPr="00927EAD" w:rsidRDefault="007C161B" w:rsidP="003C0817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27EAD">
              <w:rPr>
                <w:rFonts w:hAnsi="Calibri"/>
                <w:color w:val="000000" w:themeColor="text1"/>
                <w:kern w:val="24"/>
                <w:sz w:val="24"/>
              </w:rPr>
              <w:t xml:space="preserve">Should reintroduction plans be completed for each </w:t>
            </w:r>
            <w:proofErr w:type="spellStart"/>
            <w:r w:rsidRPr="00927EAD">
              <w:rPr>
                <w:rFonts w:hAnsi="Calibri"/>
                <w:color w:val="000000" w:themeColor="text1"/>
                <w:kern w:val="24"/>
                <w:sz w:val="24"/>
              </w:rPr>
              <w:t>subbasin</w:t>
            </w:r>
            <w:proofErr w:type="spellEnd"/>
            <w:r w:rsidRPr="00927EAD">
              <w:rPr>
                <w:rFonts w:hAnsi="Calibri"/>
                <w:color w:val="000000" w:themeColor="text1"/>
                <w:kern w:val="24"/>
                <w:sz w:val="24"/>
              </w:rPr>
              <w:t xml:space="preserve"> in order to identify goals, criteria, and what RM&amp;E is needed?</w:t>
            </w:r>
          </w:p>
        </w:tc>
      </w:tr>
      <w:tr w:rsidR="007C161B" w:rsidRPr="007C161B" w:rsidTr="007C161B">
        <w:trPr>
          <w:trHeight w:val="781"/>
        </w:trPr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817" w:rsidRDefault="003C0817" w:rsidP="003C08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</w:pPr>
          </w:p>
          <w:p w:rsidR="007C161B" w:rsidRPr="007C161B" w:rsidRDefault="007C161B" w:rsidP="003C08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</w:pPr>
            <w:r w:rsidRPr="007C161B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  <w:t>Points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0817" w:rsidRDefault="003C0817" w:rsidP="003C08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</w:pPr>
          </w:p>
          <w:p w:rsidR="007C161B" w:rsidRPr="007C161B" w:rsidRDefault="007C161B" w:rsidP="003C08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</w:pPr>
            <w:r w:rsidRPr="007C161B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  <w:sz w:val="32"/>
                <w:szCs w:val="32"/>
                <w:u w:val="single"/>
              </w:rPr>
              <w:t>Counter Points</w:t>
            </w:r>
          </w:p>
        </w:tc>
      </w:tr>
      <w:tr w:rsidR="007C161B" w:rsidRPr="007C161B" w:rsidTr="007C161B">
        <w:trPr>
          <w:trHeight w:val="78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61B" w:rsidRPr="00927EAD" w:rsidRDefault="007C161B" w:rsidP="003C0817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>The RPA and draft HGMPs include assessment of hatchery effects.  Assessing hatchery effects requires annual spawning and parentage analysis.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161B" w:rsidRPr="00927EAD" w:rsidRDefault="007C161B" w:rsidP="00D9111A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 xml:space="preserve">Hatchery effects have been well documented for existing conditions.  </w:t>
            </w:r>
            <w:r w:rsidR="00611707">
              <w:rPr>
                <w:sz w:val="24"/>
              </w:rPr>
              <w:t>Managers accept high</w:t>
            </w:r>
            <w:r w:rsidR="00D9111A">
              <w:rPr>
                <w:sz w:val="24"/>
              </w:rPr>
              <w:t xml:space="preserve"> P</w:t>
            </w:r>
            <w:r w:rsidR="00611707">
              <w:rPr>
                <w:sz w:val="24"/>
              </w:rPr>
              <w:t>HOS below dams</w:t>
            </w:r>
            <w:r w:rsidR="00C1420C">
              <w:rPr>
                <w:sz w:val="24"/>
              </w:rPr>
              <w:t>.  PHOS above dams is determined by the reintroduction strategy, and can be estimated by adults released</w:t>
            </w:r>
            <w:r w:rsidR="00611707">
              <w:rPr>
                <w:sz w:val="24"/>
              </w:rPr>
              <w:t xml:space="preserve">.  </w:t>
            </w:r>
            <w:r w:rsidR="00C1420C">
              <w:rPr>
                <w:sz w:val="24"/>
              </w:rPr>
              <w:t xml:space="preserve">Until new </w:t>
            </w:r>
            <w:r w:rsidR="00C1420C" w:rsidRPr="00927EAD">
              <w:rPr>
                <w:sz w:val="24"/>
              </w:rPr>
              <w:t xml:space="preserve">actions are </w:t>
            </w:r>
            <w:r w:rsidR="00C1420C">
              <w:rPr>
                <w:sz w:val="24"/>
              </w:rPr>
              <w:t xml:space="preserve">taken, </w:t>
            </w:r>
            <w:r w:rsidR="00C1420C" w:rsidRPr="00927EAD">
              <w:rPr>
                <w:sz w:val="24"/>
              </w:rPr>
              <w:t>change</w:t>
            </w:r>
            <w:r w:rsidR="00C1420C">
              <w:rPr>
                <w:sz w:val="24"/>
              </w:rPr>
              <w:t xml:space="preserve">s in </w:t>
            </w:r>
            <w:r w:rsidR="00C1420C" w:rsidRPr="00927EAD">
              <w:rPr>
                <w:sz w:val="24"/>
              </w:rPr>
              <w:t xml:space="preserve">spawning attributes (CRR, </w:t>
            </w:r>
            <w:proofErr w:type="spellStart"/>
            <w:r w:rsidR="00C1420C" w:rsidRPr="00927EAD">
              <w:rPr>
                <w:sz w:val="24"/>
              </w:rPr>
              <w:t>pHOS</w:t>
            </w:r>
            <w:proofErr w:type="spellEnd"/>
            <w:r w:rsidR="00C1420C" w:rsidRPr="00927EAD">
              <w:rPr>
                <w:sz w:val="24"/>
              </w:rPr>
              <w:t xml:space="preserve">, </w:t>
            </w:r>
            <w:proofErr w:type="spellStart"/>
            <w:r w:rsidR="00C1420C" w:rsidRPr="00927EAD">
              <w:rPr>
                <w:sz w:val="24"/>
              </w:rPr>
              <w:t>spawner</w:t>
            </w:r>
            <w:proofErr w:type="spellEnd"/>
            <w:r w:rsidR="00C1420C" w:rsidRPr="00927EAD">
              <w:rPr>
                <w:sz w:val="24"/>
              </w:rPr>
              <w:t xml:space="preserve"> abundance and distribution)</w:t>
            </w:r>
            <w:r w:rsidR="00D9111A">
              <w:rPr>
                <w:sz w:val="24"/>
              </w:rPr>
              <w:t xml:space="preserve"> related to the WVP are highly unlikely</w:t>
            </w:r>
            <w:r w:rsidR="00611707">
              <w:rPr>
                <w:sz w:val="24"/>
              </w:rPr>
              <w:t xml:space="preserve">.  </w:t>
            </w:r>
          </w:p>
        </w:tc>
      </w:tr>
      <w:tr w:rsidR="00D9111A" w:rsidRPr="007C161B" w:rsidTr="007C161B">
        <w:trPr>
          <w:trHeight w:val="78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111A" w:rsidRPr="00927EAD" w:rsidRDefault="00D9111A" w:rsidP="00D9111A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 xml:space="preserve">Annual trends in spawning and juvenile production are needed to assess the effectiveness of </w:t>
            </w:r>
            <w:r>
              <w:rPr>
                <w:sz w:val="24"/>
              </w:rPr>
              <w:t xml:space="preserve">completed RPA </w:t>
            </w:r>
            <w:r w:rsidRPr="00927EAD">
              <w:rPr>
                <w:sz w:val="24"/>
              </w:rPr>
              <w:t>actions.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111A" w:rsidRPr="00927EAD" w:rsidRDefault="00D9111A" w:rsidP="00D9111A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 xml:space="preserve">Effectiveness </w:t>
            </w:r>
            <w:r>
              <w:rPr>
                <w:sz w:val="24"/>
              </w:rPr>
              <w:t xml:space="preserve">of actions </w:t>
            </w:r>
            <w:r w:rsidRPr="00927EAD">
              <w:rPr>
                <w:sz w:val="24"/>
              </w:rPr>
              <w:t>will be evaluated against performance targets or criteria, not by comparison to pre-existing conditions.</w:t>
            </w:r>
          </w:p>
        </w:tc>
      </w:tr>
      <w:tr w:rsidR="00D9111A" w:rsidRPr="007C161B" w:rsidTr="007C161B">
        <w:trPr>
          <w:trHeight w:val="781"/>
        </w:trPr>
        <w:tc>
          <w:tcPr>
            <w:tcW w:w="6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11A" w:rsidRPr="00927EAD" w:rsidRDefault="00D9111A" w:rsidP="00D9111A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>Adaptive management of Chinook reintroduction above Corps dams requires annual data on spawning effectiveness and juvenile production.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11A" w:rsidRPr="00927EAD" w:rsidRDefault="00D9111A" w:rsidP="00D9111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Given that hatchery fish are released above dams, the e</w:t>
            </w:r>
            <w:r w:rsidRPr="00927EAD">
              <w:rPr>
                <w:sz w:val="24"/>
              </w:rPr>
              <w:t>stablished trap and haul protocols work well</w:t>
            </w:r>
            <w:r>
              <w:rPr>
                <w:sz w:val="24"/>
              </w:rPr>
              <w:t>.  Post-effectiveness</w:t>
            </w:r>
            <w:r w:rsidRPr="00927EAD">
              <w:rPr>
                <w:sz w:val="24"/>
              </w:rPr>
              <w:t xml:space="preserve"> evaluation will be needed </w:t>
            </w:r>
            <w:r>
              <w:rPr>
                <w:sz w:val="24"/>
              </w:rPr>
              <w:t xml:space="preserve">after </w:t>
            </w:r>
            <w:r w:rsidRPr="00927EAD">
              <w:rPr>
                <w:sz w:val="24"/>
              </w:rPr>
              <w:t>dam passage is improved.</w:t>
            </w:r>
          </w:p>
        </w:tc>
      </w:tr>
      <w:tr w:rsidR="00D9111A" w:rsidRPr="007C161B" w:rsidTr="007C161B">
        <w:trPr>
          <w:trHeight w:val="781"/>
        </w:trPr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11A" w:rsidRPr="00927EAD" w:rsidRDefault="00D9111A" w:rsidP="00D9111A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 xml:space="preserve">Reintroduction plans for each </w:t>
            </w:r>
            <w:proofErr w:type="spellStart"/>
            <w:r w:rsidRPr="00927EAD">
              <w:rPr>
                <w:sz w:val="24"/>
              </w:rPr>
              <w:t>subbasin</w:t>
            </w:r>
            <w:proofErr w:type="spellEnd"/>
            <w:r w:rsidRPr="00927EAD">
              <w:rPr>
                <w:sz w:val="24"/>
              </w:rPr>
              <w:t xml:space="preserve"> are needed to document the goals, strategy, objectives, and criteria for success.  Without these, RM&amp;E cannot</w:t>
            </w:r>
            <w:r>
              <w:rPr>
                <w:sz w:val="24"/>
              </w:rPr>
              <w:t xml:space="preserve"> be</w:t>
            </w:r>
            <w:r w:rsidRPr="00927EAD">
              <w:rPr>
                <w:sz w:val="24"/>
              </w:rPr>
              <w:t xml:space="preserve"> identified or tied to a management goal.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111A" w:rsidRPr="00927EAD" w:rsidRDefault="00D9111A" w:rsidP="00D9111A">
            <w:pPr>
              <w:spacing w:after="0" w:line="240" w:lineRule="auto"/>
              <w:rPr>
                <w:sz w:val="24"/>
              </w:rPr>
            </w:pPr>
            <w:r w:rsidRPr="00927EAD">
              <w:rPr>
                <w:sz w:val="24"/>
              </w:rPr>
              <w:t xml:space="preserve">After HGMPs are finalized, fish co-managers will prepare reintroduction plans.  In the interim, annual data are needed to further inform and refine reintroduction strategies in each </w:t>
            </w:r>
            <w:proofErr w:type="spellStart"/>
            <w:r w:rsidRPr="00927EAD">
              <w:rPr>
                <w:sz w:val="24"/>
              </w:rPr>
              <w:t>subbasin</w:t>
            </w:r>
            <w:proofErr w:type="spellEnd"/>
            <w:r w:rsidRPr="00927EAD">
              <w:rPr>
                <w:sz w:val="24"/>
              </w:rPr>
              <w:t>.</w:t>
            </w:r>
          </w:p>
        </w:tc>
      </w:tr>
    </w:tbl>
    <w:p w:rsidR="00791319" w:rsidRDefault="00791319"/>
    <w:p w:rsidR="00C3298A" w:rsidRDefault="00C3298A">
      <w:r>
        <w:t xml:space="preserve">Relevant FY17 concept papers: APH-09-01-CGR, </w:t>
      </w:r>
      <w:r>
        <w:t>APH-09-01-</w:t>
      </w:r>
      <w:r>
        <w:t xml:space="preserve">DET, </w:t>
      </w:r>
      <w:r>
        <w:t>APH-09-01-</w:t>
      </w:r>
      <w:r>
        <w:t>FOS, APH-15-01-SYS, JPL-10-02-SYS</w:t>
      </w:r>
    </w:p>
    <w:sectPr w:rsidR="00C3298A" w:rsidSect="007C161B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1EA"/>
    <w:multiLevelType w:val="hybridMultilevel"/>
    <w:tmpl w:val="55E24754"/>
    <w:lvl w:ilvl="0" w:tplc="CBCA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A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A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4325E9"/>
    <w:multiLevelType w:val="hybridMultilevel"/>
    <w:tmpl w:val="37729834"/>
    <w:lvl w:ilvl="0" w:tplc="9DEAA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6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6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A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6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1B"/>
    <w:rsid w:val="000156DD"/>
    <w:rsid w:val="000F447B"/>
    <w:rsid w:val="00281FE9"/>
    <w:rsid w:val="003C0817"/>
    <w:rsid w:val="00611707"/>
    <w:rsid w:val="00791319"/>
    <w:rsid w:val="00793883"/>
    <w:rsid w:val="007C161B"/>
    <w:rsid w:val="00927EAD"/>
    <w:rsid w:val="00C1420C"/>
    <w:rsid w:val="00C3298A"/>
    <w:rsid w:val="00D9111A"/>
    <w:rsid w:val="00E21F8F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2E10-3DE8-4CA5-975B-C0D4D80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6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G2PMERMP</dc:creator>
  <cp:keywords/>
  <dc:description/>
  <cp:lastModifiedBy>G2PMERMP</cp:lastModifiedBy>
  <cp:revision>5</cp:revision>
  <dcterms:created xsi:type="dcterms:W3CDTF">2016-09-26T14:44:00Z</dcterms:created>
  <dcterms:modified xsi:type="dcterms:W3CDTF">2016-09-26T20:10:00Z</dcterms:modified>
</cp:coreProperties>
</file>